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BF" w:rsidRPr="007E3145" w:rsidRDefault="001C3BBF" w:rsidP="001C3BBF">
      <w:pPr>
        <w:jc w:val="center"/>
        <w:rPr>
          <w:rFonts w:ascii="Times New Roman" w:eastAsia="Calibri" w:hAnsi="Times New Roman" w:cs="Times New Roman"/>
          <w:noProof/>
          <w:highlight w:val="yellow"/>
        </w:rPr>
      </w:pPr>
      <w:r w:rsidRPr="007E3145">
        <w:rPr>
          <w:rStyle w:val="fill"/>
          <w:rFonts w:ascii="Times New Roman" w:hAnsi="Times New Roman"/>
          <w:i w:val="0"/>
          <w:color w:val="auto"/>
        </w:rPr>
        <w:t>Особенности и результаты ОГЭ 2020 года</w:t>
      </w:r>
    </w:p>
    <w:p w:rsidR="001C3BBF" w:rsidRDefault="001C3BBF" w:rsidP="001C3BBF">
      <w:pPr>
        <w:jc w:val="both"/>
        <w:rPr>
          <w:rFonts w:ascii="Times New Roman" w:eastAsia="Calibri" w:hAnsi="Times New Roman" w:cs="Times New Roman"/>
        </w:rPr>
      </w:pPr>
      <w:bookmarkStart w:id="0" w:name="_Hlk18014483"/>
      <w:r>
        <w:rPr>
          <w:rFonts w:ascii="Times New Roman" w:eastAsia="Calibri" w:hAnsi="Times New Roman" w:cs="Times New Roman"/>
        </w:rPr>
        <w:t xml:space="preserve">Аттестат об основном общем образовании получили 89 учащихся, 100% </w:t>
      </w:r>
      <w:bookmarkEnd w:id="0"/>
      <w:r>
        <w:rPr>
          <w:rFonts w:ascii="Times New Roman" w:eastAsia="Calibri" w:hAnsi="Times New Roman" w:cs="Times New Roman"/>
        </w:rPr>
        <w:t>(2019-2020 – 81 чел., 100%) выпускников, из них с отличием – 5 чел., 5,6% (2019-2020 – 1чел.,1,2%, 2018-2019 - 5 чел., 7,1%, 2017-2018 - 4 чел., 5,8%; 2016-2017 - 2 чел., 3%).</w:t>
      </w:r>
    </w:p>
    <w:p w:rsidR="001C3BBF" w:rsidRDefault="001C3BBF" w:rsidP="001C3BBF">
      <w:pPr>
        <w:rPr>
          <w:rFonts w:ascii="Times New Roman" w:eastAsia="Calibri" w:hAnsi="Times New Roman" w:cs="Times New Roman"/>
        </w:rPr>
      </w:pPr>
      <w:r>
        <w:rPr>
          <w:rFonts w:ascii="Times New Roman" w:eastAsia="Calibri" w:hAnsi="Times New Roman" w:cs="Times New Roman"/>
        </w:rPr>
        <w:t xml:space="preserve">В связи с внесением изменений в положение о проведении ГИА 9 классов, ОГЭ сдавалось только по 2-м обязательным предметам: русский язык и математика. Качество освоения образовательных программ по результатам ОГЭ и контрольных работ – 67,4% (2018-2019 – 77,3%; 2017-2018 </w:t>
      </w:r>
      <w:proofErr w:type="spellStart"/>
      <w:r>
        <w:rPr>
          <w:rFonts w:ascii="Times New Roman" w:eastAsia="Calibri" w:hAnsi="Times New Roman" w:cs="Times New Roman"/>
        </w:rPr>
        <w:t>уч.г</w:t>
      </w:r>
      <w:proofErr w:type="spellEnd"/>
      <w:r>
        <w:rPr>
          <w:rFonts w:ascii="Times New Roman" w:eastAsia="Calibri" w:hAnsi="Times New Roman" w:cs="Times New Roman"/>
        </w:rPr>
        <w:t>. - 76,5%).</w:t>
      </w:r>
    </w:p>
    <w:p w:rsidR="001C3BBF" w:rsidRDefault="001C3BBF" w:rsidP="001C3BBF">
      <w:pPr>
        <w:rPr>
          <w:rFonts w:ascii="Times New Roman" w:eastAsia="Calibri" w:hAnsi="Times New Roman" w:cs="Times New Roman"/>
        </w:rPr>
      </w:pPr>
      <w:r>
        <w:rPr>
          <w:rFonts w:ascii="Times New Roman" w:eastAsia="Calibri" w:hAnsi="Times New Roman" w:cs="Times New Roman"/>
        </w:rPr>
        <w:t>Вместо двух предметов по выбору, выпускники 9-х классов писали контрольную работу по одному из учебных предметов (по выбору учащихся).</w:t>
      </w:r>
    </w:p>
    <w:p w:rsidR="001C3BBF" w:rsidRDefault="001C3BBF" w:rsidP="001C3BBF">
      <w:pPr>
        <w:ind w:firstLine="709"/>
        <w:jc w:val="both"/>
        <w:rPr>
          <w:rFonts w:ascii="Times New Roman" w:eastAsia="Calibri" w:hAnsi="Times New Roman" w:cs="Times New Roman"/>
          <w:lang w:eastAsia="en-US"/>
        </w:rPr>
      </w:pPr>
      <w:r w:rsidRPr="001353D1">
        <w:rPr>
          <w:rFonts w:ascii="Calibri" w:eastAsia="Calibri" w:hAnsi="Calibri" w:cs="Times New Roman"/>
          <w:noProof/>
          <w:sz w:val="22"/>
          <w:szCs w:val="22"/>
        </w:rPr>
        <w:drawing>
          <wp:inline distT="0" distB="0" distL="0" distR="0">
            <wp:extent cx="4581525" cy="34575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1C3BBF" w:rsidRDefault="001C3BBF" w:rsidP="001C3BBF">
      <w:pPr>
        <w:ind w:firstLine="709"/>
        <w:jc w:val="both"/>
        <w:rPr>
          <w:rFonts w:ascii="Times New Roman" w:eastAsia="Calibri" w:hAnsi="Times New Roman" w:cs="Times New Roman"/>
          <w:highlight w:val="yellow"/>
        </w:rPr>
      </w:pPr>
    </w:p>
    <w:p w:rsidR="001C3BBF" w:rsidRDefault="001C3BBF" w:rsidP="001C3BBF">
      <w:pPr>
        <w:ind w:firstLine="709"/>
        <w:jc w:val="both"/>
        <w:rPr>
          <w:rFonts w:ascii="Times New Roman" w:eastAsia="Calibri" w:hAnsi="Times New Roman" w:cs="Times New Roman"/>
        </w:rPr>
      </w:pPr>
    </w:p>
    <w:p w:rsidR="001C3BBF" w:rsidRDefault="001C3BBF" w:rsidP="001C3BBF">
      <w:pPr>
        <w:ind w:firstLine="709"/>
        <w:jc w:val="both"/>
        <w:rPr>
          <w:rFonts w:ascii="Times New Roman" w:eastAsia="Calibri" w:hAnsi="Times New Roman" w:cs="Times New Roman"/>
        </w:rPr>
      </w:pPr>
    </w:p>
    <w:p w:rsidR="001C3BBF" w:rsidRDefault="001C3BBF" w:rsidP="001C3BBF">
      <w:pPr>
        <w:ind w:firstLine="709"/>
        <w:jc w:val="both"/>
        <w:rPr>
          <w:rFonts w:ascii="Times New Roman" w:eastAsia="Calibri" w:hAnsi="Times New Roman" w:cs="Times New Roman"/>
          <w:highlight w:val="yellow"/>
        </w:rPr>
      </w:pPr>
      <w:r w:rsidRPr="001353D1">
        <w:rPr>
          <w:rFonts w:ascii="Calibri" w:eastAsia="Calibri" w:hAnsi="Calibri" w:cs="Times New Roman"/>
          <w:noProof/>
          <w:sz w:val="22"/>
          <w:szCs w:val="22"/>
        </w:rPr>
        <w:drawing>
          <wp:inline distT="0" distB="0" distL="0" distR="0">
            <wp:extent cx="5124450" cy="2819400"/>
            <wp:effectExtent l="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C3BBF" w:rsidRDefault="001C3BBF" w:rsidP="001C3BBF">
      <w:pPr>
        <w:ind w:firstLine="709"/>
        <w:rPr>
          <w:rFonts w:ascii="Times New Roman" w:eastAsia="Calibri" w:hAnsi="Times New Roman" w:cs="Times New Roman"/>
        </w:rPr>
      </w:pPr>
      <w:r>
        <w:rPr>
          <w:rFonts w:ascii="Times New Roman" w:eastAsia="Calibri" w:hAnsi="Times New Roman" w:cs="Times New Roman"/>
        </w:rPr>
        <w:t xml:space="preserve">Качественное освоение образовательных программ предметов по выбору по результатам контрольных работ составило 57,95% (2018-2019 – 71,97%, 2017-2018 </w:t>
      </w:r>
      <w:proofErr w:type="spellStart"/>
      <w:r>
        <w:rPr>
          <w:rFonts w:ascii="Times New Roman" w:eastAsia="Calibri" w:hAnsi="Times New Roman" w:cs="Times New Roman"/>
        </w:rPr>
        <w:t>уч.г</w:t>
      </w:r>
      <w:proofErr w:type="spellEnd"/>
      <w:r>
        <w:rPr>
          <w:rFonts w:ascii="Times New Roman" w:eastAsia="Calibri" w:hAnsi="Times New Roman" w:cs="Times New Roman"/>
        </w:rPr>
        <w:t xml:space="preserve">.- 67,9%, 2016-2017 </w:t>
      </w:r>
      <w:proofErr w:type="spellStart"/>
      <w:r>
        <w:rPr>
          <w:rFonts w:ascii="Times New Roman" w:eastAsia="Calibri" w:hAnsi="Times New Roman" w:cs="Times New Roman"/>
        </w:rPr>
        <w:t>уч.г</w:t>
      </w:r>
      <w:proofErr w:type="spellEnd"/>
      <w:r>
        <w:rPr>
          <w:rFonts w:ascii="Times New Roman" w:eastAsia="Calibri" w:hAnsi="Times New Roman" w:cs="Times New Roman"/>
        </w:rPr>
        <w:t xml:space="preserve">. - 78,8 %, 2015-2016 </w:t>
      </w:r>
      <w:proofErr w:type="spellStart"/>
      <w:r>
        <w:rPr>
          <w:rFonts w:ascii="Times New Roman" w:eastAsia="Calibri" w:hAnsi="Times New Roman" w:cs="Times New Roman"/>
        </w:rPr>
        <w:t>уч.г</w:t>
      </w:r>
      <w:proofErr w:type="spellEnd"/>
      <w:r>
        <w:rPr>
          <w:rFonts w:ascii="Times New Roman" w:eastAsia="Calibri" w:hAnsi="Times New Roman" w:cs="Times New Roman"/>
        </w:rPr>
        <w:t>.- 62,5%).</w:t>
      </w:r>
    </w:p>
    <w:p w:rsidR="001C3BBF" w:rsidRDefault="001C3BBF" w:rsidP="001C3BBF">
      <w:pPr>
        <w:ind w:firstLine="709"/>
        <w:jc w:val="both"/>
        <w:rPr>
          <w:rFonts w:ascii="Times New Roman" w:eastAsia="Calibri" w:hAnsi="Times New Roman" w:cs="Times New Roman"/>
          <w:highlight w:val="yellow"/>
        </w:rPr>
      </w:pPr>
      <w:r w:rsidRPr="001353D1">
        <w:rPr>
          <w:rFonts w:ascii="Calibri" w:eastAsia="Calibri" w:hAnsi="Calibri" w:cs="Times New Roman"/>
          <w:noProof/>
          <w:sz w:val="22"/>
          <w:szCs w:val="22"/>
        </w:rPr>
        <w:drawing>
          <wp:inline distT="0" distB="0" distL="0" distR="0">
            <wp:extent cx="4524375" cy="2486025"/>
            <wp:effectExtent l="0" t="0" r="9525" b="952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eastAsia="Calibri" w:hAnsi="Times New Roman" w:cs="Times New Roman"/>
          <w:highlight w:val="yellow"/>
        </w:rPr>
        <w:t xml:space="preserve">    </w:t>
      </w:r>
    </w:p>
    <w:p w:rsidR="001C3BBF" w:rsidRDefault="001C3BBF" w:rsidP="001C3BBF">
      <w:pPr>
        <w:jc w:val="both"/>
        <w:rPr>
          <w:rFonts w:ascii="Times New Roman" w:eastAsia="Calibri" w:hAnsi="Times New Roman" w:cs="Times New Roman"/>
        </w:rPr>
      </w:pPr>
      <w:bookmarkStart w:id="1" w:name="_Hlk523353046"/>
    </w:p>
    <w:p w:rsidR="001C3BBF" w:rsidRDefault="001C3BBF" w:rsidP="001C3BBF">
      <w:pPr>
        <w:ind w:firstLine="709"/>
        <w:jc w:val="both"/>
        <w:rPr>
          <w:rFonts w:ascii="Times New Roman" w:eastAsia="Calibri" w:hAnsi="Times New Roman" w:cs="Times New Roman"/>
        </w:rPr>
      </w:pPr>
      <w:r>
        <w:rPr>
          <w:rFonts w:ascii="Times New Roman" w:eastAsia="Calibri" w:hAnsi="Times New Roman" w:cs="Times New Roman"/>
        </w:rPr>
        <w:t>Качество освоения образовательных программ по обязательным предметам (математика, русский язык) – 69,1%</w:t>
      </w:r>
      <w:bookmarkStart w:id="2" w:name="_Hlk523353071"/>
      <w:bookmarkEnd w:id="1"/>
      <w:r>
        <w:rPr>
          <w:rFonts w:ascii="Times New Roman" w:eastAsia="Calibri" w:hAnsi="Times New Roman" w:cs="Times New Roman"/>
        </w:rPr>
        <w:t xml:space="preserve">. </w:t>
      </w:r>
    </w:p>
    <w:p w:rsidR="001C3BBF" w:rsidRDefault="001C3BBF" w:rsidP="001C3BBF">
      <w:pPr>
        <w:ind w:firstLine="709"/>
        <w:jc w:val="both"/>
        <w:rPr>
          <w:rFonts w:ascii="Times New Roman" w:eastAsia="Calibri" w:hAnsi="Times New Roman" w:cs="Times New Roman"/>
        </w:rPr>
      </w:pPr>
      <w:bookmarkStart w:id="3" w:name="_GoBack"/>
      <w:bookmarkEnd w:id="3"/>
      <w:r>
        <w:rPr>
          <w:rFonts w:ascii="Times New Roman" w:eastAsia="Calibri" w:hAnsi="Times New Roman" w:cs="Times New Roman"/>
        </w:rPr>
        <w:t xml:space="preserve">Итог: абсолютная  успеваемость по результатам ОГЭ – 100%. </w:t>
      </w:r>
    </w:p>
    <w:bookmarkEnd w:id="2"/>
    <w:p w:rsidR="00AF2099" w:rsidRPr="001C3BBF" w:rsidRDefault="00AF2099" w:rsidP="001C3BBF"/>
    <w:sectPr w:rsidR="00AF2099" w:rsidRPr="001C3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C7"/>
    <w:rsid w:val="001C3BBF"/>
    <w:rsid w:val="002B29C7"/>
    <w:rsid w:val="004734B1"/>
    <w:rsid w:val="007E3145"/>
    <w:rsid w:val="00AF2099"/>
    <w:rsid w:val="00E44B53"/>
    <w:rsid w:val="00ED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7DD692D-8FB8-4515-B555-56B4DFC3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28"/>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ED2C28"/>
    <w:pPr>
      <w:spacing w:before="100" w:beforeAutospacing="1" w:after="100" w:afterAutospacing="1"/>
    </w:pPr>
    <w:rPr>
      <w:rFonts w:cs="Times New Roman"/>
      <w:sz w:val="20"/>
      <w:szCs w:val="20"/>
      <w:lang w:val="x-none" w:eastAsia="x-none"/>
    </w:rPr>
  </w:style>
  <w:style w:type="character" w:customStyle="1" w:styleId="fill">
    <w:name w:val="fill"/>
    <w:rsid w:val="00ED2C28"/>
    <w:rPr>
      <w:b/>
      <w:bCs/>
      <w:i/>
      <w:iCs/>
      <w:color w:val="FF0000"/>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rsid w:val="00ED2C28"/>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97" b="1" i="0" u="none" strike="noStrike" kern="1200" baseline="0">
                <a:solidFill>
                  <a:schemeClr val="tx2"/>
                </a:solidFill>
                <a:latin typeface="+mn-lt"/>
                <a:ea typeface="+mn-ea"/>
                <a:cs typeface="+mn-cs"/>
              </a:defRPr>
            </a:pPr>
            <a:r>
              <a:rPr lang="ru-RU"/>
              <a:t>выбор предметов</a:t>
            </a:r>
          </a:p>
        </c:rich>
      </c:tx>
      <c:layout/>
      <c:overlay val="0"/>
      <c:spPr>
        <a:noFill/>
        <a:ln w="25347">
          <a:noFill/>
        </a:ln>
      </c:spPr>
    </c:title>
    <c:autoTitleDeleted val="0"/>
    <c:plotArea>
      <c:layout/>
      <c:barChart>
        <c:barDir val="col"/>
        <c:grouping val="clustered"/>
        <c:varyColors val="0"/>
        <c:ser>
          <c:idx val="0"/>
          <c:order val="0"/>
          <c:tx>
            <c:strRef>
              <c:f>Лист1!$B$1</c:f>
              <c:strCache>
                <c:ptCount val="1"/>
                <c:pt idx="0">
                  <c:v>2017-2018</c:v>
                </c:pt>
              </c:strCache>
            </c:strRef>
          </c:tx>
          <c:spPr>
            <a:pattFill prst="pct10">
              <a:fgClr>
                <a:srgbClr val="000000"/>
              </a:fgClr>
              <a:bgClr>
                <a:srgbClr val="FFFFFF"/>
              </a:bgClr>
            </a:pattFill>
            <a:ln w="25347">
              <a:noFill/>
            </a:ln>
          </c:spPr>
          <c:invertIfNegative val="0"/>
          <c:dLbls>
            <c:dLbl>
              <c:idx val="3"/>
              <c:layout>
                <c:manualLayout>
                  <c:x val="-1.1289230074508961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547076089410703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биология</c:v>
                </c:pt>
                <c:pt idx="1">
                  <c:v>география</c:v>
                </c:pt>
                <c:pt idx="2">
                  <c:v>английский</c:v>
                </c:pt>
                <c:pt idx="3">
                  <c:v>ИКТ</c:v>
                </c:pt>
                <c:pt idx="4">
                  <c:v>литература</c:v>
                </c:pt>
                <c:pt idx="5">
                  <c:v>обществознание</c:v>
                </c:pt>
                <c:pt idx="6">
                  <c:v>физика</c:v>
                </c:pt>
                <c:pt idx="7">
                  <c:v>химия</c:v>
                </c:pt>
                <c:pt idx="8">
                  <c:v>история</c:v>
                </c:pt>
              </c:strCache>
            </c:strRef>
          </c:cat>
          <c:val>
            <c:numRef>
              <c:f>Лист1!$B$2:$B$10</c:f>
              <c:numCache>
                <c:formatCode>General</c:formatCode>
                <c:ptCount val="9"/>
                <c:pt idx="0">
                  <c:v>31.8</c:v>
                </c:pt>
                <c:pt idx="1">
                  <c:v>13.4</c:v>
                </c:pt>
                <c:pt idx="2">
                  <c:v>7.5</c:v>
                </c:pt>
                <c:pt idx="3">
                  <c:v>23.9</c:v>
                </c:pt>
                <c:pt idx="4">
                  <c:v>4.5</c:v>
                </c:pt>
                <c:pt idx="5">
                  <c:v>56.7</c:v>
                </c:pt>
                <c:pt idx="6">
                  <c:v>47.8</c:v>
                </c:pt>
                <c:pt idx="7">
                  <c:v>13.4</c:v>
                </c:pt>
                <c:pt idx="8">
                  <c:v>0</c:v>
                </c:pt>
              </c:numCache>
            </c:numRef>
          </c:val>
        </c:ser>
        <c:ser>
          <c:idx val="1"/>
          <c:order val="1"/>
          <c:tx>
            <c:strRef>
              <c:f>Лист1!$C$1</c:f>
              <c:strCache>
                <c:ptCount val="1"/>
                <c:pt idx="0">
                  <c:v>2018-2019</c:v>
                </c:pt>
              </c:strCache>
            </c:strRef>
          </c:tx>
          <c:spPr>
            <a:pattFill prst="ltHorz">
              <a:fgClr>
                <a:srgbClr val="000000"/>
              </a:fgClr>
              <a:bgClr>
                <a:srgbClr val="FFFFFF"/>
              </a:bgClr>
            </a:pattFill>
            <a:ln w="25347">
              <a:noFill/>
            </a:ln>
          </c:spPr>
          <c:invertIfNegative val="0"/>
          <c:dLbls>
            <c:dLbl>
              <c:idx val="0"/>
              <c:layout>
                <c:manualLayout>
                  <c:x val="2.1296821415047209E-2"/>
                  <c:y val="1.060322545233170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393365426843056E-17"/>
                  <c:y val="-6.337135614702154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5804922104312401E-2"/>
                  <c:y val="6.337135614702096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биология</c:v>
                </c:pt>
                <c:pt idx="1">
                  <c:v>география</c:v>
                </c:pt>
                <c:pt idx="2">
                  <c:v>английский</c:v>
                </c:pt>
                <c:pt idx="3">
                  <c:v>ИКТ</c:v>
                </c:pt>
                <c:pt idx="4">
                  <c:v>литература</c:v>
                </c:pt>
                <c:pt idx="5">
                  <c:v>обществознание</c:v>
                </c:pt>
                <c:pt idx="6">
                  <c:v>физика</c:v>
                </c:pt>
                <c:pt idx="7">
                  <c:v>химия</c:v>
                </c:pt>
                <c:pt idx="8">
                  <c:v>история</c:v>
                </c:pt>
              </c:strCache>
            </c:strRef>
          </c:cat>
          <c:val>
            <c:numRef>
              <c:f>Лист1!$C$2:$C$10</c:f>
              <c:numCache>
                <c:formatCode>General</c:formatCode>
                <c:ptCount val="9"/>
                <c:pt idx="0">
                  <c:v>30.3</c:v>
                </c:pt>
                <c:pt idx="1">
                  <c:v>4.5</c:v>
                </c:pt>
                <c:pt idx="2">
                  <c:v>7.5</c:v>
                </c:pt>
                <c:pt idx="3">
                  <c:v>42.4</c:v>
                </c:pt>
                <c:pt idx="4">
                  <c:v>3</c:v>
                </c:pt>
                <c:pt idx="5">
                  <c:v>66.7</c:v>
                </c:pt>
                <c:pt idx="6">
                  <c:v>34.799999999999997</c:v>
                </c:pt>
                <c:pt idx="7">
                  <c:v>9.1</c:v>
                </c:pt>
                <c:pt idx="8">
                  <c:v>1.5</c:v>
                </c:pt>
              </c:numCache>
            </c:numRef>
          </c:val>
        </c:ser>
        <c:ser>
          <c:idx val="2"/>
          <c:order val="2"/>
          <c:tx>
            <c:strRef>
              <c:f>Лист1!$D$1</c:f>
              <c:strCache>
                <c:ptCount val="1"/>
                <c:pt idx="0">
                  <c:v>2020-2021</c:v>
                </c:pt>
              </c:strCache>
            </c:strRef>
          </c:tx>
          <c:spPr>
            <a:pattFill prst="wdDnDiag">
              <a:fgClr>
                <a:srgbClr val="000000"/>
              </a:fgClr>
              <a:bgClr>
                <a:srgbClr val="FFFFFF"/>
              </a:bgClr>
            </a:pattFill>
            <a:ln w="25347">
              <a:noFill/>
            </a:ln>
          </c:spPr>
          <c:invertIfNegative val="0"/>
          <c:dLbls>
            <c:dLbl>
              <c:idx val="3"/>
              <c:layout>
                <c:manualLayout>
                  <c:x val="2.483630616391962E-2"/>
                  <c:y val="1.584283903675532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2786730853686112E-17"/>
                  <c:y val="-1.267427122940425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2578460149018666E-3"/>
                  <c:y val="-6.337135614702154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w="2534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биология</c:v>
                </c:pt>
                <c:pt idx="1">
                  <c:v>география</c:v>
                </c:pt>
                <c:pt idx="2">
                  <c:v>английский</c:v>
                </c:pt>
                <c:pt idx="3">
                  <c:v>ИКТ</c:v>
                </c:pt>
                <c:pt idx="4">
                  <c:v>литература</c:v>
                </c:pt>
                <c:pt idx="5">
                  <c:v>обществознание</c:v>
                </c:pt>
                <c:pt idx="6">
                  <c:v>физика</c:v>
                </c:pt>
                <c:pt idx="7">
                  <c:v>химия</c:v>
                </c:pt>
                <c:pt idx="8">
                  <c:v>история</c:v>
                </c:pt>
              </c:strCache>
            </c:strRef>
          </c:cat>
          <c:val>
            <c:numRef>
              <c:f>Лист1!$D$2:$D$10</c:f>
              <c:numCache>
                <c:formatCode>General</c:formatCode>
                <c:ptCount val="9"/>
                <c:pt idx="0">
                  <c:v>6.7</c:v>
                </c:pt>
                <c:pt idx="1">
                  <c:v>2.2000000000000002</c:v>
                </c:pt>
                <c:pt idx="2">
                  <c:v>4.5</c:v>
                </c:pt>
                <c:pt idx="3">
                  <c:v>40.4</c:v>
                </c:pt>
                <c:pt idx="4">
                  <c:v>0</c:v>
                </c:pt>
                <c:pt idx="5">
                  <c:v>24.7</c:v>
                </c:pt>
                <c:pt idx="6" formatCode="0.0">
                  <c:v>18</c:v>
                </c:pt>
                <c:pt idx="7">
                  <c:v>3.4</c:v>
                </c:pt>
                <c:pt idx="8">
                  <c:v>0</c:v>
                </c:pt>
              </c:numCache>
            </c:numRef>
          </c:val>
        </c:ser>
        <c:dLbls>
          <c:showLegendKey val="0"/>
          <c:showVal val="0"/>
          <c:showCatName val="0"/>
          <c:showSerName val="0"/>
          <c:showPercent val="0"/>
          <c:showBubbleSize val="0"/>
        </c:dLbls>
        <c:gapWidth val="100"/>
        <c:overlap val="-24"/>
        <c:axId val="1581366720"/>
        <c:axId val="1581376512"/>
      </c:barChart>
      <c:catAx>
        <c:axId val="1581366720"/>
        <c:scaling>
          <c:orientation val="minMax"/>
        </c:scaling>
        <c:delete val="0"/>
        <c:axPos val="b"/>
        <c:numFmt formatCode="General" sourceLinked="1"/>
        <c:majorTickMark val="none"/>
        <c:minorTickMark val="none"/>
        <c:tickLblPos val="nextTo"/>
        <c:spPr>
          <a:noFill/>
          <a:ln w="9505" cap="flat" cmpd="sng" algn="ctr">
            <a:solidFill>
              <a:schemeClr val="tx2">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ru-RU"/>
          </a:p>
        </c:txPr>
        <c:crossAx val="1581376512"/>
        <c:crosses val="autoZero"/>
        <c:auto val="1"/>
        <c:lblAlgn val="ctr"/>
        <c:lblOffset val="100"/>
        <c:noMultiLvlLbl val="0"/>
      </c:catAx>
      <c:valAx>
        <c:axId val="1581376512"/>
        <c:scaling>
          <c:orientation val="minMax"/>
        </c:scaling>
        <c:delete val="0"/>
        <c:axPos val="l"/>
        <c:majorGridlines>
          <c:spPr>
            <a:ln w="9505" cap="flat" cmpd="sng" algn="ctr">
              <a:solidFill>
                <a:schemeClr val="tx2">
                  <a:lumMod val="15000"/>
                  <a:lumOff val="85000"/>
                </a:schemeClr>
              </a:solidFill>
              <a:round/>
            </a:ln>
            <a:effectLst/>
          </c:spPr>
        </c:majorGridlines>
        <c:title>
          <c:tx>
            <c:rich>
              <a:bodyPr/>
              <a:lstStyle/>
              <a:p>
                <a:pPr>
                  <a:defRPr sz="898" b="1" i="0" u="none" strike="noStrike" baseline="0">
                    <a:solidFill>
                      <a:srgbClr val="666699"/>
                    </a:solidFill>
                    <a:latin typeface="Calibri"/>
                    <a:ea typeface="Calibri"/>
                    <a:cs typeface="Calibri"/>
                  </a:defRPr>
                </a:pPr>
                <a:r>
                  <a:rPr lang="ru-RU"/>
                  <a:t>количество учащихся,% </a:t>
                </a:r>
              </a:p>
            </c:rich>
          </c:tx>
          <c:layout/>
          <c:overlay val="0"/>
          <c:spPr>
            <a:noFill/>
            <a:ln w="25347">
              <a:noFill/>
            </a:ln>
          </c:spPr>
        </c:title>
        <c:numFmt formatCode="General" sourceLinked="1"/>
        <c:majorTickMark val="none"/>
        <c:minorTickMark val="none"/>
        <c:tickLblPos val="nextTo"/>
        <c:spPr>
          <a:ln w="6337">
            <a:noFill/>
          </a:ln>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ru-RU"/>
          </a:p>
        </c:txPr>
        <c:crossAx val="1581366720"/>
        <c:crosses val="autoZero"/>
        <c:crossBetween val="between"/>
      </c:valAx>
      <c:spPr>
        <a:noFill/>
        <a:ln w="25347">
          <a:noFill/>
        </a:ln>
      </c:spPr>
    </c:plotArea>
    <c:legend>
      <c:legendPos val="r"/>
      <c:layout/>
      <c:overlay val="0"/>
      <c:spPr>
        <a:noFill/>
        <a:ln w="25347">
          <a:noFill/>
        </a:ln>
      </c:spPr>
      <c:txPr>
        <a:bodyPr rot="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0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rPr>
              <a:t>качество освоения программ (предметы повыбору)</a:t>
            </a:r>
          </a:p>
        </c:rich>
      </c:tx>
      <c:layout>
        <c:manualLayout>
          <c:xMode val="edge"/>
          <c:yMode val="edge"/>
          <c:x val="0.16781259113444155"/>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pattFill prst="dkHorz">
              <a:fgClr>
                <a:schemeClr val="tx1"/>
              </a:fgClr>
              <a:bgClr>
                <a:schemeClr val="bg1"/>
              </a:bgClr>
            </a:pattFill>
            <a:ln>
              <a:noFill/>
            </a:ln>
            <a:effectLst/>
          </c:spPr>
          <c:invertIfNegative val="0"/>
          <c:dLbls>
            <c:dLbl>
              <c:idx val="0"/>
              <c:layout>
                <c:manualLayout>
                  <c:x val="-1.38888888888889E-2"/>
                  <c:y val="7.936507936507863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574074074074096E-2"/>
                  <c:y val="1.58730158730158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биология</c:v>
                </c:pt>
                <c:pt idx="1">
                  <c:v>география</c:v>
                </c:pt>
                <c:pt idx="2">
                  <c:v>английский</c:v>
                </c:pt>
                <c:pt idx="3">
                  <c:v>ИКТ</c:v>
                </c:pt>
                <c:pt idx="4">
                  <c:v>литература</c:v>
                </c:pt>
                <c:pt idx="5">
                  <c:v>обществознание</c:v>
                </c:pt>
                <c:pt idx="6">
                  <c:v>физика</c:v>
                </c:pt>
                <c:pt idx="7">
                  <c:v>химия</c:v>
                </c:pt>
                <c:pt idx="8">
                  <c:v>история</c:v>
                </c:pt>
              </c:strCache>
            </c:strRef>
          </c:cat>
          <c:val>
            <c:numRef>
              <c:f>Лист1!$B$2:$B$10</c:f>
              <c:numCache>
                <c:formatCode>General</c:formatCode>
                <c:ptCount val="9"/>
                <c:pt idx="0">
                  <c:v>31.8</c:v>
                </c:pt>
                <c:pt idx="1">
                  <c:v>66.7</c:v>
                </c:pt>
                <c:pt idx="2">
                  <c:v>100</c:v>
                </c:pt>
                <c:pt idx="3">
                  <c:v>93.8</c:v>
                </c:pt>
                <c:pt idx="4">
                  <c:v>66.7</c:v>
                </c:pt>
                <c:pt idx="5">
                  <c:v>63.2</c:v>
                </c:pt>
                <c:pt idx="6">
                  <c:v>75</c:v>
                </c:pt>
                <c:pt idx="7">
                  <c:v>88.9</c:v>
                </c:pt>
                <c:pt idx="8">
                  <c:v>0</c:v>
                </c:pt>
              </c:numCache>
            </c:numRef>
          </c:val>
        </c:ser>
        <c:ser>
          <c:idx val="1"/>
          <c:order val="1"/>
          <c:tx>
            <c:strRef>
              <c:f>Лист1!$C$1</c:f>
              <c:strCache>
                <c:ptCount val="1"/>
                <c:pt idx="0">
                  <c:v>2018-2019</c:v>
                </c:pt>
              </c:strCache>
            </c:strRef>
          </c:tx>
          <c:spPr>
            <a:pattFill prst="wdDnDiag">
              <a:fgClr>
                <a:schemeClr val="tx1">
                  <a:lumMod val="50000"/>
                  <a:lumOff val="50000"/>
                </a:schemeClr>
              </a:fgClr>
              <a:bgClr>
                <a:schemeClr val="bg1"/>
              </a:bgClr>
            </a:pattFill>
            <a:ln>
              <a:noFill/>
            </a:ln>
            <a:effectLst/>
          </c:spPr>
          <c:invertIfNegative val="0"/>
          <c:dLbls>
            <c:dLbl>
              <c:idx val="3"/>
              <c:layout>
                <c:manualLayout>
                  <c:x val="2.7777777777777693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148148148148147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биология</c:v>
                </c:pt>
                <c:pt idx="1">
                  <c:v>география</c:v>
                </c:pt>
                <c:pt idx="2">
                  <c:v>английский</c:v>
                </c:pt>
                <c:pt idx="3">
                  <c:v>ИКТ</c:v>
                </c:pt>
                <c:pt idx="4">
                  <c:v>литература</c:v>
                </c:pt>
                <c:pt idx="5">
                  <c:v>обществознание</c:v>
                </c:pt>
                <c:pt idx="6">
                  <c:v>физика</c:v>
                </c:pt>
                <c:pt idx="7">
                  <c:v>химия</c:v>
                </c:pt>
                <c:pt idx="8">
                  <c:v>история</c:v>
                </c:pt>
              </c:strCache>
            </c:strRef>
          </c:cat>
          <c:val>
            <c:numRef>
              <c:f>Лист1!$C$2:$C$10</c:f>
              <c:numCache>
                <c:formatCode>General</c:formatCode>
                <c:ptCount val="9"/>
                <c:pt idx="0">
                  <c:v>45</c:v>
                </c:pt>
                <c:pt idx="1">
                  <c:v>100</c:v>
                </c:pt>
                <c:pt idx="2">
                  <c:v>80</c:v>
                </c:pt>
                <c:pt idx="3">
                  <c:v>89.3</c:v>
                </c:pt>
                <c:pt idx="4">
                  <c:v>0</c:v>
                </c:pt>
                <c:pt idx="5">
                  <c:v>59.1</c:v>
                </c:pt>
                <c:pt idx="6">
                  <c:v>100</c:v>
                </c:pt>
                <c:pt idx="7">
                  <c:v>66.7</c:v>
                </c:pt>
                <c:pt idx="8">
                  <c:v>100</c:v>
                </c:pt>
              </c:numCache>
            </c:numRef>
          </c:val>
        </c:ser>
        <c:ser>
          <c:idx val="2"/>
          <c:order val="2"/>
          <c:tx>
            <c:strRef>
              <c:f>Лист1!$D$1</c:f>
              <c:strCache>
                <c:ptCount val="1"/>
                <c:pt idx="0">
                  <c:v>2020-2021</c:v>
                </c:pt>
              </c:strCache>
            </c:strRef>
          </c:tx>
          <c:spPr>
            <a:solidFill>
              <a:srgbClr val="FF0000"/>
            </a:solidFill>
            <a:ln>
              <a:noFill/>
            </a:ln>
            <a:effectLst/>
          </c:spPr>
          <c:invertIfNegative val="0"/>
          <c:dLbls>
            <c:dLbl>
              <c:idx val="1"/>
              <c:layout>
                <c:manualLayout>
                  <c:x val="1.8518518518518476E-2"/>
                  <c:y val="-1.98412698412698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574074074074073E-2"/>
                  <c:y val="1.58730158730157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518518518518517E-2"/>
                  <c:y val="3.96825396825396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8518518518518347E-2"/>
                  <c:y val="2.38095238095238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Лист1!$A$2:$A$10</c:f>
              <c:strCache>
                <c:ptCount val="9"/>
                <c:pt idx="0">
                  <c:v>биология</c:v>
                </c:pt>
                <c:pt idx="1">
                  <c:v>география</c:v>
                </c:pt>
                <c:pt idx="2">
                  <c:v>английский</c:v>
                </c:pt>
                <c:pt idx="3">
                  <c:v>ИКТ</c:v>
                </c:pt>
                <c:pt idx="4">
                  <c:v>литература</c:v>
                </c:pt>
                <c:pt idx="5">
                  <c:v>обществознание</c:v>
                </c:pt>
                <c:pt idx="6">
                  <c:v>физика</c:v>
                </c:pt>
                <c:pt idx="7">
                  <c:v>химия</c:v>
                </c:pt>
                <c:pt idx="8">
                  <c:v>история</c:v>
                </c:pt>
              </c:strCache>
            </c:strRef>
          </c:cat>
          <c:val>
            <c:numRef>
              <c:f>Лист1!$D$2:$D$10</c:f>
              <c:numCache>
                <c:formatCode>General</c:formatCode>
                <c:ptCount val="9"/>
                <c:pt idx="0">
                  <c:v>66.7</c:v>
                </c:pt>
                <c:pt idx="1">
                  <c:v>100</c:v>
                </c:pt>
                <c:pt idx="2">
                  <c:v>100</c:v>
                </c:pt>
                <c:pt idx="3">
                  <c:v>51.4</c:v>
                </c:pt>
                <c:pt idx="4">
                  <c:v>0</c:v>
                </c:pt>
                <c:pt idx="5">
                  <c:v>27.3</c:v>
                </c:pt>
                <c:pt idx="6">
                  <c:v>87.5</c:v>
                </c:pt>
                <c:pt idx="7">
                  <c:v>100</c:v>
                </c:pt>
                <c:pt idx="8">
                  <c:v>0</c:v>
                </c:pt>
              </c:numCache>
            </c:numRef>
          </c:val>
        </c:ser>
        <c:dLbls>
          <c:showLegendKey val="0"/>
          <c:showVal val="0"/>
          <c:showCatName val="0"/>
          <c:showSerName val="0"/>
          <c:showPercent val="0"/>
          <c:showBubbleSize val="0"/>
        </c:dLbls>
        <c:gapWidth val="219"/>
        <c:overlap val="-27"/>
        <c:axId val="1581351488"/>
        <c:axId val="1581349312"/>
      </c:barChart>
      <c:catAx>
        <c:axId val="158135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581349312"/>
        <c:crosses val="autoZero"/>
        <c:auto val="1"/>
        <c:lblAlgn val="ctr"/>
        <c:lblOffset val="100"/>
        <c:noMultiLvlLbl val="0"/>
      </c:catAx>
      <c:valAx>
        <c:axId val="1581349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1351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r>
              <a:rPr lang="ru-RU">
                <a:solidFill>
                  <a:sysClr val="windowText" lastClr="000000"/>
                </a:solidFill>
              </a:rPr>
              <a:t>качество освоения программ</a:t>
            </a:r>
            <a:r>
              <a:rPr lang="ru-RU" baseline="0">
                <a:solidFill>
                  <a:sysClr val="windowText" lastClr="000000"/>
                </a:solidFill>
              </a:rPr>
              <a:t> по обязательным предметам  ( в разрезе отдельной дисциплины)</a:t>
            </a:r>
            <a:endParaRPr lang="ru-RU">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2017-2018</c:v>
                </c:pt>
              </c:strCache>
            </c:strRef>
          </c:tx>
          <c:spPr>
            <a:pattFill prst="dkHorz">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математика</c:v>
                </c:pt>
                <c:pt idx="1">
                  <c:v>русский язык</c:v>
                </c:pt>
              </c:strCache>
            </c:strRef>
          </c:cat>
          <c:val>
            <c:numRef>
              <c:f>Лист1!$B$2:$B$3</c:f>
              <c:numCache>
                <c:formatCode>General</c:formatCode>
                <c:ptCount val="2"/>
                <c:pt idx="0">
                  <c:v>88.1</c:v>
                </c:pt>
                <c:pt idx="1">
                  <c:v>82.1</c:v>
                </c:pt>
              </c:numCache>
            </c:numRef>
          </c:val>
        </c:ser>
        <c:ser>
          <c:idx val="1"/>
          <c:order val="1"/>
          <c:tx>
            <c:strRef>
              <c:f>Лист1!$C$1</c:f>
              <c:strCache>
                <c:ptCount val="1"/>
                <c:pt idx="0">
                  <c:v>2018-2019</c:v>
                </c:pt>
              </c:strCache>
            </c:strRef>
          </c:tx>
          <c:spPr>
            <a:pattFill prst="wdUpDiag">
              <a:fgClr>
                <a:schemeClr val="tx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математика</c:v>
                </c:pt>
                <c:pt idx="1">
                  <c:v>русский язык</c:v>
                </c:pt>
              </c:strCache>
            </c:strRef>
          </c:cat>
          <c:val>
            <c:numRef>
              <c:f>Лист1!$C$2:$C$3</c:f>
              <c:numCache>
                <c:formatCode>General</c:formatCode>
                <c:ptCount val="2"/>
                <c:pt idx="0">
                  <c:v>78.8</c:v>
                </c:pt>
                <c:pt idx="1">
                  <c:v>86.4</c:v>
                </c:pt>
              </c:numCache>
            </c:numRef>
          </c:val>
        </c:ser>
        <c:ser>
          <c:idx val="2"/>
          <c:order val="2"/>
          <c:tx>
            <c:strRef>
              <c:f>Лист1!$D$1</c:f>
              <c:strCache>
                <c:ptCount val="1"/>
                <c:pt idx="0">
                  <c:v>2020-2021</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математика</c:v>
                </c:pt>
                <c:pt idx="1">
                  <c:v>русский язык</c:v>
                </c:pt>
              </c:strCache>
            </c:strRef>
          </c:cat>
          <c:val>
            <c:numRef>
              <c:f>Лист1!$D$2:$D$3</c:f>
              <c:numCache>
                <c:formatCode>General</c:formatCode>
                <c:ptCount val="2"/>
                <c:pt idx="0">
                  <c:v>67.400000000000006</c:v>
                </c:pt>
                <c:pt idx="1">
                  <c:v>70.8</c:v>
                </c:pt>
              </c:numCache>
            </c:numRef>
          </c:val>
        </c:ser>
        <c:dLbls>
          <c:showLegendKey val="0"/>
          <c:showVal val="0"/>
          <c:showCatName val="0"/>
          <c:showSerName val="0"/>
          <c:showPercent val="0"/>
          <c:showBubbleSize val="0"/>
        </c:dLbls>
        <c:gapWidth val="219"/>
        <c:overlap val="-27"/>
        <c:axId val="1576888320"/>
        <c:axId val="1581350944"/>
      </c:barChart>
      <c:catAx>
        <c:axId val="1576888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81350944"/>
        <c:crosses val="autoZero"/>
        <c:auto val="1"/>
        <c:lblAlgn val="ctr"/>
        <c:lblOffset val="100"/>
        <c:noMultiLvlLbl val="0"/>
      </c:catAx>
      <c:valAx>
        <c:axId val="1581350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6888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Sch_185-2</dc:creator>
  <cp:keywords/>
  <dc:description/>
  <cp:lastModifiedBy>Sch_185-2</cp:lastModifiedBy>
  <cp:revision>4</cp:revision>
  <dcterms:created xsi:type="dcterms:W3CDTF">2022-04-19T09:57:00Z</dcterms:created>
  <dcterms:modified xsi:type="dcterms:W3CDTF">2022-04-19T10:30:00Z</dcterms:modified>
</cp:coreProperties>
</file>